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1B" w:rsidRDefault="00482FFD">
      <w:r w:rsidRPr="00482FFD">
        <w:drawing>
          <wp:inline distT="0" distB="0" distL="0" distR="0">
            <wp:extent cx="5943600" cy="3133725"/>
            <wp:effectExtent l="0" t="0" r="0" b="0"/>
            <wp:docPr id="3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37537" cy="4343400"/>
                      <a:chOff x="455613" y="1371600"/>
                      <a:chExt cx="8237537" cy="4343400"/>
                    </a:xfrm>
                  </a:grpSpPr>
                  <a:sp>
                    <a:nvSpPr>
                      <a:cNvPr id="140291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455613" y="1371600"/>
                        <a:ext cx="8237537" cy="4343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l" rtl="0" fontAlgn="base">
                            <a:spcBef>
                              <a:spcPct val="60000"/>
                            </a:spcBef>
                            <a:spcAft>
                              <a:spcPct val="0"/>
                            </a:spcAft>
                            <a:defRPr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246063" indent="-244475" algn="l" rtl="0" fontAlgn="base">
                            <a:spcBef>
                              <a:spcPct val="40000"/>
                            </a:spcBef>
                            <a:spcAft>
                              <a:spcPct val="0"/>
                            </a:spcAft>
                            <a:buSzPct val="125000"/>
                            <a:buFont typeface="Times" pitchFamily="-44" charset="0"/>
                            <a:buChar char="•"/>
                            <a:defRPr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2pPr>
                          <a:lvl3pPr marL="571500" indent="-32385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3pPr>
                          <a:lvl4pPr marL="725488" indent="-152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Times" pitchFamily="-44" charset="0"/>
                            <a:buChar char="•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4pPr>
                          <a:lvl5pPr marL="11366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5pPr>
                          <a:lvl6pPr marL="15938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6pPr>
                          <a:lvl7pPr marL="20510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7pPr>
                          <a:lvl8pPr marL="25082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8pPr>
                          <a:lvl9pPr marL="29654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9pPr>
                        </a:lstStyle>
                        <a:p>
                          <a:pPr lvl="1"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“10 Big Myths about Copyright Explained” by Brad Templeton </a:t>
                          </a:r>
                          <a:r>
                            <a:rPr lang="en-US" sz="1600" dirty="0">
                              <a:hlinkClick r:id="rId4"/>
                            </a:rPr>
                            <a:t>www.templetons.com/brad/copymyths.html</a:t>
                          </a:r>
                          <a:endParaRPr lang="en-US" sz="1600" dirty="0">
                            <a:hlinkClick r:id="rId4"/>
                          </a:endParaRPr>
                        </a:p>
                        <a:p>
                          <a:pPr lvl="1"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</a:t>
                          </a:r>
                          <a:r>
                            <a:rPr lang="en-US" sz="1600" dirty="0" err="1"/>
                            <a:t>Duhaime's</a:t>
                          </a:r>
                          <a:r>
                            <a:rPr lang="en-US" sz="1600" dirty="0"/>
                            <a:t> Legal Dictionary” by Lloyd </a:t>
                          </a:r>
                          <a:r>
                            <a:rPr lang="en-US" sz="1600" dirty="0" err="1"/>
                            <a:t>Duhaime</a:t>
                          </a:r>
                          <a:r>
                            <a:rPr lang="en-US" sz="1600" dirty="0"/>
                            <a:t> </a:t>
                          </a:r>
                          <a:r>
                            <a:rPr lang="en-US" sz="1600" dirty="0">
                              <a:hlinkClick r:id="rId5"/>
                            </a:rPr>
                            <a:t>www.duhaime.org/diction.htm</a:t>
                          </a:r>
                          <a:endParaRPr lang="en-US" sz="1600" dirty="0"/>
                        </a:p>
                        <a:p>
                          <a:pPr lvl="1"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“Copyright Term and the Public Domain in the United States” by Peter B. </a:t>
                          </a:r>
                          <a:r>
                            <a:rPr lang="en-US" sz="1600" dirty="0" err="1"/>
                            <a:t>Hirtle</a:t>
                          </a:r>
                          <a:r>
                            <a:rPr lang="en-US" sz="1600" dirty="0"/>
                            <a:t>, Cornell Institute for Digital Collection</a:t>
                          </a:r>
                          <a:r>
                            <a:rPr lang="en-US" dirty="0"/>
                            <a:t> </a:t>
                          </a:r>
                          <a:r>
                            <a:rPr lang="en-US" sz="1600" dirty="0">
                              <a:hlinkClick r:id="rId6" tooltip="http://www.copyright.cornell.edu/training/Hirtle_Public_Domain.htm"/>
                            </a:rPr>
                            <a:t>www.copyright.cornell.edu/training/Hirtle_Public_Domain.htm</a:t>
                          </a:r>
                          <a:r>
                            <a:rPr lang="en-US" sz="1600" dirty="0"/>
                            <a:t> </a:t>
                          </a:r>
                        </a:p>
                        <a:p>
                          <a:pPr lvl="1"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</a:t>
                          </a:r>
                          <a:r>
                            <a:rPr lang="en-US" sz="1600" noProof="1"/>
                            <a:t>Rules Of Thumb For Digitizing And Using Others' Works In Multimedia Materials For Educational Purposes</a:t>
                          </a:r>
                          <a:r>
                            <a:rPr lang="en-US" sz="1600" dirty="0"/>
                            <a:t>” by Georgia Harper, University of Texas </a:t>
                          </a:r>
                          <a:r>
                            <a:rPr lang="en-US" sz="1600" dirty="0">
                              <a:hlinkClick r:id="rId7"/>
                            </a:rPr>
                            <a:t>www.utsystem.edu/ogc/intellectualproperty/copypol2.htm#mm</a:t>
                          </a:r>
                          <a:endParaRPr lang="en-US" sz="1600" dirty="0"/>
                        </a:p>
                        <a:p>
                          <a:pPr lvl="1">
                            <a:spcBef>
                              <a:spcPts val="500"/>
                            </a:spcBef>
                            <a:spcAft>
                              <a:spcPts val="500"/>
                            </a:spcAft>
                            <a:buFont typeface="Times" pitchFamily="-44" charset="0"/>
                            <a:buNone/>
                          </a:pPr>
                          <a:endParaRPr lang="en-US" sz="16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482FFD">
        <w:drawing>
          <wp:inline distT="0" distB="0" distL="0" distR="0">
            <wp:extent cx="5943600" cy="2529205"/>
            <wp:effectExtent l="0" t="0" r="0" b="0"/>
            <wp:docPr id="5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37537" cy="3505200"/>
                      <a:chOff x="455613" y="1371600"/>
                      <a:chExt cx="8237537" cy="3505200"/>
                    </a:xfrm>
                  </a:grpSpPr>
                  <a:sp>
                    <a:nvSpPr>
                      <a:cNvPr id="141315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455613" y="1371600"/>
                        <a:ext cx="8237537" cy="3505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l" rtl="0" fontAlgn="base">
                            <a:spcBef>
                              <a:spcPct val="60000"/>
                            </a:spcBef>
                            <a:spcAft>
                              <a:spcPct val="0"/>
                            </a:spcAft>
                            <a:defRPr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246063" indent="-244475" algn="l" rtl="0" fontAlgn="base">
                            <a:spcBef>
                              <a:spcPct val="40000"/>
                            </a:spcBef>
                            <a:spcAft>
                              <a:spcPct val="0"/>
                            </a:spcAft>
                            <a:buSzPct val="125000"/>
                            <a:buFont typeface="Times" pitchFamily="-44" charset="0"/>
                            <a:buChar char="•"/>
                            <a:defRPr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2pPr>
                          <a:lvl3pPr marL="571500" indent="-32385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3pPr>
                          <a:lvl4pPr marL="725488" indent="-152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Times" pitchFamily="-44" charset="0"/>
                            <a:buChar char="•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4pPr>
                          <a:lvl5pPr marL="11366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5pPr>
                          <a:lvl6pPr marL="15938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6pPr>
                          <a:lvl7pPr marL="20510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7pPr>
                          <a:lvl8pPr marL="25082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8pPr>
                          <a:lvl9pPr marL="29654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9pPr>
                        </a:lstStyle>
                        <a:p>
                          <a:pPr lvl="1"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</a:t>
                          </a:r>
                          <a:r>
                            <a:rPr lang="en-US" sz="1600" noProof="1"/>
                            <a:t>Rules Of Thumb For Coursepacks</a:t>
                          </a:r>
                          <a:r>
                            <a:rPr lang="en-US" sz="1600" dirty="0"/>
                            <a:t>”</a:t>
                          </a:r>
                          <a:r>
                            <a:rPr lang="en-US" sz="1600" noProof="1"/>
                            <a:t> </a:t>
                          </a:r>
                          <a:r>
                            <a:rPr lang="en-US" sz="1600" dirty="0"/>
                            <a:t>by Georgia Harper, University of Texas </a:t>
                          </a:r>
                          <a:r>
                            <a:rPr lang="en-US" sz="1600" dirty="0">
                              <a:hlinkClick r:id="rId8"/>
                            </a:rPr>
                            <a:t>www.utsystem.edu/ogc/intellectualproperty/copypol2.htm#course</a:t>
                          </a:r>
                          <a:endParaRPr lang="en-US" sz="1600" dirty="0"/>
                        </a:p>
                        <a:p>
                          <a:pPr lvl="1"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“A Proposal For Educational Fair Use Guidelines For Digital Images” by Georgia Harper, University of Texas </a:t>
                          </a:r>
                          <a:r>
                            <a:rPr lang="en-US" sz="1600" dirty="0">
                              <a:hlinkClick r:id="rId9"/>
                            </a:rPr>
                            <a:t>www.utsystem.edu/OGC/IntellectualProperty/imagguid.htm</a:t>
                          </a:r>
                          <a:endParaRPr lang="en-US" sz="1600" dirty="0"/>
                        </a:p>
                        <a:p>
                          <a:pPr lvl="1"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List of Links to Other Copyright Sites by Georgia Harper, University of Texas </a:t>
                          </a:r>
                          <a:r>
                            <a:rPr lang="en-US" sz="1600" dirty="0">
                              <a:hlinkClick r:id="rId10"/>
                            </a:rPr>
                            <a:t>www.utsystem.edu/OGC/IntellectualProperty/offsite.htm</a:t>
                          </a:r>
                          <a:endParaRPr lang="en-US" sz="1600" dirty="0"/>
                        </a:p>
                        <a:p>
                          <a:pPr lvl="1">
                            <a:spcBef>
                              <a:spcPct val="60000"/>
                            </a:spcBef>
                          </a:pPr>
                          <a:r>
                            <a:rPr lang="en-US" sz="1600" dirty="0"/>
                            <a:t>“Fair Use Guidelines for Multimedia” by Intel</a:t>
                          </a:r>
                          <a:r>
                            <a:rPr lang="en-US" sz="1600" baseline="30000" dirty="0"/>
                            <a:t>®</a:t>
                          </a:r>
                          <a:r>
                            <a:rPr lang="en-US" sz="1600" dirty="0"/>
                            <a:t> Education </a:t>
                          </a:r>
                          <a:r>
                            <a:rPr lang="en-US" sz="1600" dirty="0">
                              <a:hlinkClick r:id="rId11"/>
                            </a:rPr>
                            <a:t>www.intel.com/education/newtotech/fair_use_multimedia.htm</a:t>
                          </a:r>
                          <a:r>
                            <a:rPr lang="en-US" sz="1600" dirty="0"/>
                            <a:t> 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482FFD">
        <w:lastRenderedPageBreak/>
        <w:drawing>
          <wp:inline distT="0" distB="0" distL="0" distR="0">
            <wp:extent cx="5943600" cy="3133725"/>
            <wp:effectExtent l="0" t="0" r="0" b="0"/>
            <wp:docPr id="6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37537" cy="4343400"/>
                      <a:chOff x="455613" y="1371600"/>
                      <a:chExt cx="8237537" cy="4343400"/>
                    </a:xfrm>
                  </a:grpSpPr>
                  <a:sp>
                    <a:nvSpPr>
                      <a:cNvPr id="142339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455613" y="1371600"/>
                        <a:ext cx="8237537" cy="4343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l" rtl="0" fontAlgn="base">
                            <a:spcBef>
                              <a:spcPct val="60000"/>
                            </a:spcBef>
                            <a:spcAft>
                              <a:spcPct val="0"/>
                            </a:spcAft>
                            <a:defRPr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246063" indent="-244475" algn="l" rtl="0" fontAlgn="base">
                            <a:spcBef>
                              <a:spcPct val="40000"/>
                            </a:spcBef>
                            <a:spcAft>
                              <a:spcPct val="0"/>
                            </a:spcAft>
                            <a:buSzPct val="125000"/>
                            <a:buFont typeface="Times" pitchFamily="-44" charset="0"/>
                            <a:buChar char="•"/>
                            <a:defRPr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2pPr>
                          <a:lvl3pPr marL="571500" indent="-32385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3pPr>
                          <a:lvl4pPr marL="725488" indent="-152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Times" pitchFamily="-44" charset="0"/>
                            <a:buChar char="•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4pPr>
                          <a:lvl5pPr marL="11366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5pPr>
                          <a:lvl6pPr marL="15938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6pPr>
                          <a:lvl7pPr marL="20510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7pPr>
                          <a:lvl8pPr marL="25082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8pPr>
                          <a:lvl9pPr marL="29654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9pPr>
                        </a:lstStyle>
                        <a:p>
                          <a:pPr lvl="1">
                            <a:lnSpc>
                              <a:spcPct val="90000"/>
                            </a:lnSpc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“Fact Sheet on School Software Use” </a:t>
                          </a:r>
                          <a:r>
                            <a:rPr lang="en-US" sz="1600" dirty="0">
                              <a:cs typeface="Times New Roman" pitchFamily="18" charset="0"/>
                            </a:rPr>
                            <a:t>by Software &amp; Information Industry Association (SIIA) </a:t>
                          </a:r>
                          <a:r>
                            <a:rPr lang="en-US" sz="1600" u="sng" dirty="0">
                              <a:hlinkClick r:id="rId12"/>
                            </a:rPr>
                            <a:t>www.siia.net/piracy/pubs/SchoolSoftwareUse.pdf</a:t>
                          </a:r>
                          <a:endParaRPr lang="en-US" sz="1600" u="sng" dirty="0"/>
                        </a:p>
                        <a:p>
                          <a:pPr lvl="1">
                            <a:lnSpc>
                              <a:spcPct val="90000"/>
                            </a:lnSpc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“Digital Anarchy: Part One of an Analysis of Software Piracy” </a:t>
                          </a:r>
                          <a:r>
                            <a:rPr lang="en-US" sz="1600" dirty="0">
                              <a:cs typeface="Times New Roman" pitchFamily="18" charset="0"/>
                            </a:rPr>
                            <a:t>by David </a:t>
                          </a:r>
                          <a:r>
                            <a:rPr lang="en-US" sz="1600" dirty="0" err="1">
                              <a:cs typeface="Times New Roman" pitchFamily="18" charset="0"/>
                            </a:rPr>
                            <a:t>Laprad</a:t>
                          </a:r>
                          <a:r>
                            <a:rPr lang="en-US" sz="1600" dirty="0">
                              <a:cs typeface="Times New Roman" pitchFamily="18" charset="0"/>
                            </a:rPr>
                            <a:t> </a:t>
                          </a:r>
                          <a:r>
                            <a:rPr lang="en-US" sz="1600" dirty="0">
                              <a:hlinkClick r:id="rId13"/>
                            </a:rPr>
                            <a:t>www.avault.com/articles/getarticle.asp?name=warez1&amp;page=1</a:t>
                          </a:r>
                          <a:r>
                            <a:rPr lang="en-US" sz="1600" dirty="0"/>
                            <a:t>  </a:t>
                          </a:r>
                        </a:p>
                        <a:p>
                          <a:pPr lvl="1">
                            <a:lnSpc>
                              <a:spcPct val="90000"/>
                            </a:lnSpc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“The Federation Against Software Theft (FAST)” (United Kingdom organization) </a:t>
                          </a:r>
                          <a:r>
                            <a:rPr lang="en-US" sz="1600" dirty="0">
                              <a:hlinkClick r:id="rId14"/>
                            </a:rPr>
                            <a:t>www.fast.org.uk</a:t>
                          </a:r>
                          <a:endParaRPr lang="en-US" sz="1600" dirty="0"/>
                        </a:p>
                        <a:p>
                          <a:pPr lvl="1">
                            <a:lnSpc>
                              <a:spcPct val="90000"/>
                            </a:lnSpc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“Anti-Piracy FAQ” by Software &amp; Information Industry Association (SIIA) </a:t>
                          </a:r>
                          <a:r>
                            <a:rPr lang="en-US" sz="1600" u="sng" dirty="0">
                              <a:hlinkClick r:id="rId15"/>
                            </a:rPr>
                            <a:t>www.siia.net/piracy/faq.asp</a:t>
                          </a:r>
                          <a:r>
                            <a:rPr lang="en-US" sz="1600" u="sng" dirty="0"/>
                            <a:t> </a:t>
                          </a:r>
                        </a:p>
                        <a:p>
                          <a:pPr lvl="1">
                            <a:lnSpc>
                              <a:spcPct val="90000"/>
                            </a:lnSpc>
                            <a:spcAft>
                              <a:spcPts val="1800"/>
                            </a:spcAft>
                          </a:pPr>
                          <a:r>
                            <a:rPr lang="en-US" sz="1600" dirty="0"/>
                            <a:t>“Permissible Copying of Software” by Georgia Harper, University of Texas </a:t>
                          </a:r>
                          <a:r>
                            <a:rPr lang="en-US" sz="1600" u="sng" dirty="0">
                              <a:solidFill>
                                <a:srgbClr val="0000FF"/>
                              </a:solidFill>
                              <a:hlinkClick r:id="rId16"/>
                            </a:rPr>
                            <a:t>www.utsystem.edu/OGC/IntellectualProperty/mono2.htm</a:t>
                          </a:r>
                          <a:r>
                            <a:rPr lang="en-US" sz="1600" u="sng" dirty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482FFD">
        <w:drawing>
          <wp:inline distT="0" distB="0" distL="0" distR="0">
            <wp:extent cx="5943600" cy="3298825"/>
            <wp:effectExtent l="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37537" cy="4572000"/>
                      <a:chOff x="455613" y="1371600"/>
                      <a:chExt cx="8237537" cy="4572000"/>
                    </a:xfrm>
                  </a:grpSpPr>
                  <a:sp>
                    <a:nvSpPr>
                      <a:cNvPr id="139267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455613" y="1371600"/>
                        <a:ext cx="8237537" cy="457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l" rtl="0" fontAlgn="base">
                            <a:spcBef>
                              <a:spcPct val="60000"/>
                            </a:spcBef>
                            <a:spcAft>
                              <a:spcPct val="0"/>
                            </a:spcAft>
                            <a:defRPr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246063" indent="-244475" algn="l" rtl="0" fontAlgn="base">
                            <a:spcBef>
                              <a:spcPct val="40000"/>
                            </a:spcBef>
                            <a:spcAft>
                              <a:spcPct val="0"/>
                            </a:spcAft>
                            <a:buSzPct val="125000"/>
                            <a:buFont typeface="Times" pitchFamily="-44" charset="0"/>
                            <a:buChar char="•"/>
                            <a:defRPr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2pPr>
                          <a:lvl3pPr marL="571500" indent="-32385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3pPr>
                          <a:lvl4pPr marL="725488" indent="-152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Times" pitchFamily="-44" charset="0"/>
                            <a:buChar char="•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4pPr>
                          <a:lvl5pPr marL="11366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5pPr>
                          <a:lvl6pPr marL="15938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6pPr>
                          <a:lvl7pPr marL="20510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7pPr>
                          <a:lvl8pPr marL="25082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8pPr>
                          <a:lvl9pPr marL="2965450" indent="-409575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1600">
                              <a:solidFill>
                                <a:schemeClr val="tx1"/>
                              </a:solidFill>
                              <a:latin typeface="+mn-lt"/>
                            </a:defRPr>
                          </a:lvl9pPr>
                        </a:lstStyle>
                        <a:p>
                          <a:pPr lvl="1">
                            <a:spcBef>
                              <a:spcPct val="0"/>
                            </a:spcBef>
                            <a:spcAft>
                              <a:spcPts val="600"/>
                            </a:spcAft>
                          </a:pPr>
                          <a:r>
                            <a:rPr lang="en-US" sz="1600" dirty="0"/>
                            <a:t>Additional resources to help you and your students understand and follow copyright law and fair use guidelines are located in the </a:t>
                          </a:r>
                          <a:r>
                            <a:rPr lang="en-US" sz="1600" i="1" dirty="0"/>
                            <a:t>Resources, Copyright Resources</a:t>
                          </a:r>
                          <a:r>
                            <a:rPr lang="en-US" sz="1600" dirty="0"/>
                            <a:t> folder on the Curriculum Resource CD.</a:t>
                          </a:r>
                        </a:p>
                        <a:p>
                          <a:pPr lvl="1">
                            <a:spcBef>
                              <a:spcPct val="0"/>
                            </a:spcBef>
                            <a:spcAft>
                              <a:spcPts val="600"/>
                            </a:spcAft>
                          </a:pPr>
                          <a:r>
                            <a:rPr lang="en-US" sz="1600" dirty="0"/>
                            <a:t>“Fair Use Guidelines For Educational Multimedia” </a:t>
                          </a:r>
                          <a:br>
                            <a:rPr lang="en-US" sz="1600" dirty="0"/>
                          </a:br>
                          <a:r>
                            <a:rPr lang="en-US" sz="1600" dirty="0"/>
                            <a:t>Prepared by the Educational Multimedia Fair Use Guidelines Development Committee, July 17, 1996 </a:t>
                          </a:r>
                          <a:r>
                            <a:rPr lang="en-US" sz="1600" dirty="0">
                              <a:hlinkClick r:id="rId17"/>
                            </a:rPr>
                            <a:t>www.utsystem.edu/ogc/intellectualproperty/ccmcguid.htm</a:t>
                          </a:r>
                          <a:r>
                            <a:rPr lang="en-US" sz="1600" dirty="0"/>
                            <a:t>  </a:t>
                          </a:r>
                        </a:p>
                        <a:p>
                          <a:pPr lvl="1">
                            <a:spcBef>
                              <a:spcPct val="0"/>
                            </a:spcBef>
                            <a:spcAft>
                              <a:spcPts val="600"/>
                            </a:spcAft>
                          </a:pPr>
                          <a:r>
                            <a:rPr lang="en-US" sz="1600" dirty="0"/>
                            <a:t>“Fair Use Of Copyrighted Materials” by Georgia Harper, </a:t>
                          </a:r>
                          <a:br>
                            <a:rPr lang="en-US" sz="1600" dirty="0"/>
                          </a:br>
                          <a:r>
                            <a:rPr lang="en-US" sz="1600" dirty="0"/>
                            <a:t>University of Texas </a:t>
                          </a:r>
                          <a:r>
                            <a:rPr lang="en-US" sz="1600" dirty="0">
                              <a:hlinkClick r:id="rId18"/>
                            </a:rPr>
                            <a:t>www.utsystem.edu/OGC/IntellectualProperty/copypol2.htm</a:t>
                          </a:r>
                          <a:endParaRPr lang="en-US" sz="1600" dirty="0"/>
                        </a:p>
                        <a:p>
                          <a:pPr lvl="1">
                            <a:spcBef>
                              <a:spcPct val="0"/>
                            </a:spcBef>
                            <a:spcAft>
                              <a:spcPts val="600"/>
                            </a:spcAft>
                          </a:pPr>
                          <a:r>
                            <a:rPr lang="en-US" sz="1600" dirty="0"/>
                            <a:t>“Copyright Basics” by the U.S. Copyright Office </a:t>
                          </a:r>
                          <a:r>
                            <a:rPr lang="en-US" sz="1600" dirty="0">
                              <a:hlinkClick r:id="rId19"/>
                            </a:rPr>
                            <a:t>www.copyright.gov/circs/circ1.html</a:t>
                          </a:r>
                          <a:r>
                            <a:rPr lang="en-US" dirty="0"/>
                            <a:t>  </a:t>
                          </a:r>
                        </a:p>
                        <a:p>
                          <a:pPr lvl="1">
                            <a:spcBef>
                              <a:spcPct val="0"/>
                            </a:spcBef>
                            <a:spcAft>
                              <a:spcPts val="600"/>
                            </a:spcAft>
                          </a:pPr>
                          <a:r>
                            <a:rPr lang="en-US" sz="1600" dirty="0"/>
                            <a:t>“The Copyright Website” by Benedict </a:t>
                          </a:r>
                          <a:r>
                            <a:rPr lang="en-US" sz="1600" dirty="0" err="1"/>
                            <a:t>O’Mahoney</a:t>
                          </a:r>
                          <a:r>
                            <a:rPr lang="en-US" sz="1600" dirty="0"/>
                            <a:t> </a:t>
                          </a:r>
                          <a:r>
                            <a:rPr lang="en-US" sz="1600" dirty="0">
                              <a:hlinkClick r:id="rId20"/>
                            </a:rPr>
                            <a:t>www.benedict.com</a:t>
                          </a:r>
                          <a:endParaRPr lang="en-US" sz="1600" dirty="0"/>
                        </a:p>
                        <a:p>
                          <a:pPr lvl="1">
                            <a:spcBef>
                              <a:spcPct val="0"/>
                            </a:spcBef>
                            <a:spcAft>
                              <a:spcPts val="600"/>
                            </a:spcAft>
                          </a:pPr>
                          <a:r>
                            <a:rPr lang="en-US" sz="1600" dirty="0"/>
                            <a:t>“Copyright Law in the Electronic Environment” by Georgia Harper, University of Texas </a:t>
                          </a:r>
                          <a:r>
                            <a:rPr lang="en-US" sz="1600" dirty="0">
                              <a:hlinkClick r:id="rId21"/>
                            </a:rPr>
                            <a:t>www.utsystem.edu/OGC/IntellectualProperty/faculty.htm</a:t>
                          </a:r>
                          <a:endParaRPr lang="en-US" sz="16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D4581B" w:rsidSect="00D45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2FFD"/>
    <w:rsid w:val="00081702"/>
    <w:rsid w:val="00222F62"/>
    <w:rsid w:val="00482FFD"/>
    <w:rsid w:val="00676C6C"/>
    <w:rsid w:val="00D4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81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system.edu/ogc/intellectualproperty/copypol2.htm#course" TargetMode="External"/><Relationship Id="rId13" Type="http://schemas.openxmlformats.org/officeDocument/2006/relationships/hyperlink" Target="http://www.avault.com/articles/getarticle.asp?name=warez1&amp;page=1" TargetMode="External"/><Relationship Id="rId18" Type="http://schemas.openxmlformats.org/officeDocument/2006/relationships/hyperlink" Target="http://www.utsystem.edu/OGC/IntellectualProperty/copypol2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utsystem.edu/OGC/IntellectualProperty/faculty.htm" TargetMode="External"/><Relationship Id="rId7" Type="http://schemas.openxmlformats.org/officeDocument/2006/relationships/hyperlink" Target="http://www.utsystem.edu/ogc/intellectualproperty/copypol2.htm#mm&#xA;" TargetMode="External"/><Relationship Id="rId12" Type="http://schemas.openxmlformats.org/officeDocument/2006/relationships/hyperlink" Target="http://www.siia.net/piracy/pubs/SchoolSoftwareUse.pdf" TargetMode="External"/><Relationship Id="rId17" Type="http://schemas.openxmlformats.org/officeDocument/2006/relationships/hyperlink" Target="http://www.utsystem.edu/ogc/intellectualproperty/ccmcguid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utsystem.edu/OGC/IntellectualProperty/mono2.htm" TargetMode="External"/><Relationship Id="rId20" Type="http://schemas.openxmlformats.org/officeDocument/2006/relationships/hyperlink" Target="http://www.benedict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pyright.cornell.edu/training/Hirtle_Public_Domain.htm" TargetMode="External"/><Relationship Id="rId11" Type="http://schemas.openxmlformats.org/officeDocument/2006/relationships/hyperlink" Target="http://www.intel.com/education/newtotech/fair_use_multimedia.htm" TargetMode="External"/><Relationship Id="rId5" Type="http://schemas.openxmlformats.org/officeDocument/2006/relationships/hyperlink" Target="http://www.duhaime.org/diction.htm" TargetMode="External"/><Relationship Id="rId15" Type="http://schemas.openxmlformats.org/officeDocument/2006/relationships/hyperlink" Target="http://www.siia.net/piracy/faq.as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tsystem.edu/OGC/IntellectualProperty/offsite.htm" TargetMode="External"/><Relationship Id="rId19" Type="http://schemas.openxmlformats.org/officeDocument/2006/relationships/hyperlink" Target="http://www.copyright.gov/circs/circ1.html" TargetMode="External"/><Relationship Id="rId4" Type="http://schemas.openxmlformats.org/officeDocument/2006/relationships/hyperlink" Target="http://www.templetons.com/brad/copymyths.html" TargetMode="External"/><Relationship Id="rId9" Type="http://schemas.openxmlformats.org/officeDocument/2006/relationships/hyperlink" Target="http://www.utsystem.edu/OGC/IntellectualProperty/imagguid.htm" TargetMode="External"/><Relationship Id="rId14" Type="http://schemas.openxmlformats.org/officeDocument/2006/relationships/hyperlink" Target="http://www.fast.org.uk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>SUSD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2010-04-03T03:09:00Z</dcterms:created>
  <dcterms:modified xsi:type="dcterms:W3CDTF">2010-04-03T03:12:00Z</dcterms:modified>
</cp:coreProperties>
</file>